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Tauragė-Jurbarkas/_layouts/15/DocIdRedir.aspx?ID=PVIS-1801264273-88</Url>
      <Description>PVIS-1801264273-88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8875F3-B6FA-4380-B08C-B5CA6DE39764}"/>
</file>

<file path=customXml/itemProps3.xml><?xml version="1.0" encoding="utf-8"?>
<ds:datastoreItem xmlns:ds="http://schemas.openxmlformats.org/officeDocument/2006/customXml" ds:itemID="{11F9367B-C6F0-4EC2-967D-B2F6EB0959FE}"/>
</file>

<file path=customXml/itemProps4.xml><?xml version="1.0" encoding="utf-8"?>
<ds:datastoreItem xmlns:ds="http://schemas.openxmlformats.org/officeDocument/2006/customXml" ds:itemID="{F8976575-8E0A-40C6-BA94-751CC0FA7DCA}"/>
</file>

<file path=customXml/itemProps5.xml><?xml version="1.0" encoding="utf-8"?>
<ds:datastoreItem xmlns:ds="http://schemas.openxmlformats.org/officeDocument/2006/customXml" ds:itemID="{3F7AEC1C-5F08-4A90-A4ED-9F8C8C2F8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21bda44c-1403-4813-aef0-3ddaa15faf96</vt:lpwstr>
  </property>
</Properties>
</file>